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印发《关于审理涉及金融不良债权转让案件工作座谈会纪要》的通知]]></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发〔2009〕19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09年03月30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09年03月30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各省、自治区、直辖市高级人民法院，解放军军事法院，新疆维吾尔自治区高级人民法院生产建设兵团分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认真落实中央关于研究解决金融不良债权转让过程中国有资产流失问题的精神，统一思想，明确任务，依法公正妥善地审理涉及金融不良债权转让案件，防止国有资产流失，保障金融不良债权处置工作的顺利进行，维护和促进社会和谐稳定，维护社会公共利益和相关当事人的合法权益，最高人民法院商有关部门形成了《关于审理涉及金融不良债权转让案件工作座谈会纪要》，现印发给你们，请结合审判工作实际，遵照执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各高级人民法院，特别是不良债权转让纠纷案件数量较多、标的额较大、影响较大地区的高级人民法院，要加强对有关案件审判、执行工作的调研指导，发现新情况、新问题的，应当及时报告最高人民法院。]]></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最高人民法院关于审理涉及金融不良债权转让案件工作座谈会纪要]]></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了认真落实中央关于研究解决金融不良债权转让过程中国有资产流失问题的精神。统一思想，明确任务，依法妥善公正地审理涉及金融不良债权转让案件，防止国有资产流失，保障金融不良债权处置工作的顺利进行，维护和促进社会和谐稳定，最高人民法院邀请全国人大常委会法制工作委员会、中共中央政法委员会、国务院法制办公室、财政部、国务院国有资产监督管理委员会、中国银行业监督管理委员会、中国人民银行和审计署等单位，于2008年10月14日在海南省海口市召开了全国法院审理金融不良债权转让案件工作座谈会。各省、自治区、直辖市高级人民法院和解放军军事法院以及新疆维吾尔自治区高级人民法院生产建设兵团分院主管民商审判工作的副院长、相关审判庭的负责同志参加了座谈会。与会同志通过认真讨论，就关于审理涉及金融不良债权转让案件的主要问题取得了一致的看法。现纪要如下：]]></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一、]]></w:t>
      </w:r>
      <w:r w:rsidRPr="00A75184">
        <w:rPr>
          <w:rStyle w:val="sect2title1"/>
          <w:rFonts w:ascii="DengXian" w:eastAsia="DengXian" w:hAnsi="DengXian" w:hint="default"/>
          <w:b w:val="0"/>
        </w:rPr>
        <w:t xml:space="preserve">　</w:t>
      </w:r>
      <w:r w:rsidRPr="00A75184">
        <w:rPr>
          <w:rFonts w:ascii="SimSun" w:eastAsia="SimSun" w:hAnsi="SimSun" w:hint="default"/>
        </w:rPr>
        <w:t><![CDATA[关于审理此类案件应遵循的原则]]></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此类案件事关金融不良资产处置工作的顺利进行，事关国有资产保护，事关职工利益保障和社会稳定。因此，人民法院必须高度重视此类案件，并在审理中注意坚持以下原则：]]></w:t>
      </w:r>
    </w:p>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坚持保障国家经济安全原则。民商事审判工作是国家维护经济秩序、防范和化解市场风险、维护国家经济安全的重要手段。全国法院必须服从和服务于国家对整个国民经济稳定和国有资产安全的监控，从中央政策精神的目的出发，以民商事法律、法规的基本精神为依托，本着规范金融市场、防范金融风险、维护金融稳定、保障经济安全的宗旨，依法公正妥善地审理此类纠纷案件，确保国家经济秩序稳定和国有资产安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坚持维护企业和社会稳定原则。金融不良资产的处置，涉及企业重大经济利益。全国法院要进一步强化政治意识、大局意识、责任意识和保障意识，从维护国家改革、发展和稳定的大局出发，依法公正妥善地审理好此类纠纷案件，切实防止可能引发的群体性、突发性和恶性事件，切实做到“化解矛盾、理顺关系、安定人心、维护秩序”。]]></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坚持依法公正和妥善合理的原则。人民法院在审理此类案件中，要将法律条文规则的适用与中央政策精神的实现相结合，将坚持民商法的意思自治、平等保护等理念与国家经济政策、金融市场监管和社会影响等因素相结合，正确处理好保护国有资产、保障金融不良资产处置工作顺利进行、维护企业和社会稳定的关系，做到统筹兼顾、妥善合理，确保依法公正与妥善合理的统一，确保审判的法律效果和社会效果统一。]]></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坚持调解优先、调判结合的原则。为了避免矛盾激化，维护社会稳定，平衡各方利益，人民法院在诉讼中应当向当事人充分说明国家的政策精神，澄清当事人对法律和政策的模糊认识。坚持调解优先，积极引导各方当事人本着互谅互让的精神进行协商，尽最大可能采用调解的方式解决纠纷。如果当事人不能达成和解，人民法院要根据相关法律法规以及本座谈会纪要（以下简称《纪要》）进行妥善公正的审理。]]></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二、]]></w:t>
      </w:r>
      <w:r w:rsidRPr="00A75184">
        <w:rPr>
          <w:rStyle w:val="sect2title1"/>
          <w:rFonts w:ascii="DengXian" w:eastAsia="DengXian" w:hAnsi="DengXian" w:hint="default"/>
          <w:b w:val="0"/>
        </w:rPr>
        <w:t xml:space="preserve">　</w:t>
      </w:r>
      <w:r w:rsidRPr="00A75184">
        <w:rPr>
          <w:rFonts w:ascii="SimSun" w:eastAsia="SimSun" w:hAnsi="SimSun" w:hint="default"/>
        </w:rPr>
        <w:t><![CDATA[关于案件的受理]]></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为确保此类案件得到公正妥善的处理，凡符合民事诉讼法规定的受理条件及《纪要》有关规定精神涉及的此类案件，人民法院应予受理。不良债权已经剥离至金融资产管理公司又被转让给受让人后，国有企业债务人知道或者应当知道不良债权已经转让而仍向原国有银行清偿的，不得对抗受让人对其提起的追索之诉，国有企业债务人在对受让人清偿后向原国有银行提起返还不当得利之诉的，人民法院应予受理；国有企业债务人不知道不良债权已经转让而向原国有银行清偿的，可以对抗受让人对其提起的追索之诉，受让人向国有银行提起返还不当得利之诉的，人民法院应予受理。]]></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受让人在对国有企业债务人的追索诉讼中，主张追加原国有银行为第三人的，人民法院不予支持；在《纪要》发布前已经终审或者根据《纪要》做出终审的，当事人根据《纪要》认为生效裁判存在错误而申请再审的，人民法院不予支持。]]></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案件存在下列情形之一的，人民法院不予受理：]]></w:t>
      </w:r>
    </w:p>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金融资产管理公司与国有银行就政策性金融资产转让协议发生纠纷起诉到人民法院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权人向国家政策性关闭破产的国有企业债务人主张清偿债务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债权人向已列入经国务院批准的全国企业政策性关闭破产总体规划并拟实施关闭破产的国有企业债务人主张清偿债务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纪要》发布前，受让人与国有企业债务人之间的债权债务关系已经履行完毕，优先购买权人或国有企业债务人提起不良债权转让合同无效诉讼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受让人自金融资产管理公司受让不良债权后，以不良债权存在瑕疵为由起诉原国有银行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国有银行或金融资产管理公司转让享受天然林资源保护工程政策的国有森工企业不良债权而引发受让人向森工企业主张债权的（具体详见《天然林资源保护区森工企业金融机构债务免除申请表》名录）；]]></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七）在不良债权转让合同无效之诉中，国有企业债务人不能提供相应担保或者优先购买权人放弃优先购买权的。]]></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三、]]></w:t>
      </w:r>
      <w:r w:rsidRPr="00A75184">
        <w:rPr>
          <w:rStyle w:val="sect2title1"/>
          <w:rFonts w:ascii="DengXian" w:eastAsia="DengXian" w:hAnsi="DengXian" w:hint="default"/>
          <w:b w:val="0"/>
        </w:rPr>
        <w:t xml:space="preserve">　</w:t>
      </w:r>
      <w:r w:rsidRPr="00A75184">
        <w:rPr>
          <w:rFonts w:ascii="SimSun" w:eastAsia="SimSun" w:hAnsi="SimSun" w:hint="default"/>
        </w:rPr>
        <w:t><![CDATA[关于债权转让生效条件的法律适用和自行约定的效力]]></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不良债权成立在 合同法施行之前，转让于 合同法施行之后的，该债权转让对债务人生效的条件应适用 合同法第八十条第一款的规定。]]></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金融资产管理公司受让不良债权后，自行与债务人约定或重新约定诉讼管辖的，如不违反法律规定，人民法院应当认定该约定有效。金融资产管理公司在不良债权转让合同中订有禁止转售、禁止向国有银行、各级人民政府、国家机构等追偿、禁止转让给特定第三人等要求受让人放弃部分权利条款的，人民法院应认定该条款有效。国有银行向金融资产管理公司转让不良债权，或者金融资产管理公司收购、处置不良债权的，担保债权同时转让，无须征得担保人的同意，担保人仍应在原担保范围内对受让人继续承担担保责任。担保合同中关于合同变更需经担保人同意或者禁止转让主债权的约定，对主债权和担保权利转让没有约束力。]]></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四、]]></w:t>
      </w:r>
      <w:r w:rsidRPr="00A75184">
        <w:rPr>
          <w:rStyle w:val="sect2title1"/>
          <w:rFonts w:ascii="DengXian" w:eastAsia="DengXian" w:hAnsi="DengXian" w:hint="default"/>
          <w:b w:val="0"/>
        </w:rPr>
        <w:t xml:space="preserve">　</w:t>
      </w:r>
      <w:r w:rsidRPr="00A75184">
        <w:rPr>
          <w:rFonts w:ascii="SimSun" w:eastAsia="SimSun" w:hAnsi="SimSun" w:hint="default"/>
        </w:rPr>
        <w:t><![CDATA[关于地方政府等的优先购买权]]></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为了防止在通过债权转让方式处置不良债权过程中发生国有资产流失，相关地方人民政府或者代表本级人民政府履行出资人职责的机构、部门或者持有国有企业债务人国有资本的集团公司可以对不良债权行使优先购买权。]]></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金融资产管理公司向非国有金融机构法人转让不良债权的处置方案、交易条件以及处置程序、方式确定后，单笔（单户）转让不良债权的，金融资产管理公司应当通知国有企业债务人注册登记地的优先购买权人。以整体“资产包”的形式转让不良债权的，如资产包中主要债务人注册登记地属同一辖区，应当通知该辖区的优先购买权人；如资产包中主要债务人注册登记地属不同辖区，应当通知主要债务人共同的上级行政区域的优先购买权人。]]></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按照确定的处置方案、交易条件以及处置程序、方式，上述优先购买权人在同等条件下享有优先购买权。优先购买权人收到通知后明确表示不予购买或者在收到通知之日起三十日内未就是否行使优先购买权做出书面答复，或者未在公告确定的拍卖、招标日之前做出书面答复或者未按拍卖公告、招标公告的规定时间和条件参加竞拍、竞标的，视为放弃优先购买权。]]></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金融资产管理公司在《纪要》发布之前已经完成不良债权转让，上述优先购买权人主张行使优先购买权的，人民法院不予支持。]]></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务人主张优先购买不良债权的，人民法院不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五、]]></w:t>
      </w:r>
      <w:r w:rsidRPr="00A75184">
        <w:rPr>
          <w:rStyle w:val="sect2title1"/>
          <w:rFonts w:ascii="DengXian" w:eastAsia="DengXian" w:hAnsi="DengXian" w:hint="default"/>
          <w:b w:val="0"/>
        </w:rPr>
        <w:t xml:space="preserve">　</w:t>
      </w:r>
      <w:r w:rsidRPr="00A75184">
        <w:rPr>
          <w:rFonts w:ascii="SimSun" w:eastAsia="SimSun" w:hAnsi="SimSun" w:hint="default"/>
        </w:rPr>
        <w:t><![CDATA[关于国有企业的诉权及相关诉讼程序]]></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为避免当事人滥用诉权，在受让人向国有企业债务人主张债权的诉讼中，国有企业债务人以不良债权转让行为损害国有资产等为由，提出不良债权转让合同无效抗辩的，人民法院应告知其向同一人民法院另行提起不良债权转让合同无效的诉讼；国有企业债务人不另行起诉的，人民法院对其抗辩不予支持。国有企业债务人另行提起不良债权转让合同无效诉讼的，人民法院应中止审理受让人向国有企业债务人主张债权的诉讼，在不良债权转让合同无效诉讼被受理后，两案合并审理。国有企业债务人在二审期间另行提起不良债权转让合同无效诉讼的，人民法院应中止审理受让人向国有企业债务人主张债权的诉讼，在不良债权转让合同无效诉讼被受理且做出一审裁判后再行审理。]]></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国有企业债务人提出的不良债权转让合同无效诉讼被受理后，对于受让人的债权系直接从金融资产管理公司处受让的，人民法院应当将金融资产管理公司和受让人列为案件当事人；如果受让人的债权系金融资产管理公司转让给其他受让人后，因该受让人再次转让或多次转让而取得的，人民法院应当将金融资产管理公司和该转让人以及后手受让人列为案件当事人。]]></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六、]]></w:t>
      </w:r>
      <w:r w:rsidRPr="00A75184">
        <w:rPr>
          <w:rStyle w:val="sect2title1"/>
          <w:rFonts w:ascii="DengXian" w:eastAsia="DengXian" w:hAnsi="DengXian" w:hint="default"/>
          <w:b w:val="0"/>
        </w:rPr>
        <w:t xml:space="preserve">　</w:t>
      </w:r>
      <w:r w:rsidRPr="00A75184">
        <w:rPr>
          <w:rFonts w:ascii="SimSun" w:eastAsia="SimSun" w:hAnsi="SimSun" w:hint="default"/>
        </w:rPr>
        <w:t><![CDATA[关于不良债权转让合同无效和可撤销事由的认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在审理不良债权转让合同效力的诉讼中，人民法院应当根据 合同法和 《金融资产管理公司条例》等法律法规，并参照国家相关政策规定，重点审查不良债权的可转让性、受让人的适格性以及转让程序的公正性和合法性。金融资产管理公司转让不良债权存在下列情形的，人民法院应当认定转让合同损害国家利益或社会公共利益或者违反法律、行政法规强制性规定而无效。]]></w:t>
      </w:r>
    </w:p>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务人或者担保人为国家机关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被有关国家机关依法认定为涉及国防、军工等国家安全和敏感信息的以及其他依法禁止转让或限制转让情形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与受让人恶意串通转让不良债权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转让不良债权公告违反《金融资产管理公司资产处置公告管理办法（修订）》规定，对依照公开、公平、公正和竞争、择优原则处置不良资产造成实质性影响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实际转让的资产包与转让前公告的资产包内容严重不符，且不符合《金融资产管理公司资产处置公告管理办法（修订）》规定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根据有关规定应经合法、独立的评估机构评估，但未经评估的；或者金融资产管理公司与评估机构、评估机构与债务人、金融资产管理公司和债务人以及三方之间恶意串通，低估、漏估不良债权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七）根据有关规定应当采取公开招标、拍卖等方式处置，但未公开招标、拍卖的；或者公开招标中的投标人少于三家（不含三家）的；或者以拍卖方式转让不良债权时，未公开选择有资质的拍卖中介机构的；或者未依照 《中华人民共和国拍卖法》的规定进行拍卖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八）根据有关规定应当向行政主管部门办理相关报批或者备案、登记手续而未办理，且在一审法庭辩论终结前仍未能办理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九）受让人为国家公务员、金融监管机构工作人员、政法干警、金融资产管理公司工作人员、国有企业债务人管理人员、参与资产处置工作的律师、会计师、评估师等中介机构等关联人或者上述关联人参与的非金融机构法人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十）受让人与参与不良债权转让的金融资产管理公司工作人员、国有企业债务人或者受托资产评估机构负责人员等有直系亲属关系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十一）存在其他损害国家利益或社会公共利益的转让情形的。]]></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在金融资产管理公司转让不良债权后，国有企业债务人有证据证明不良债权根本不存在或者已经全部或部分归还而主张撤销不良债权转让合同的，人民法院应当撤销或者部分撤销不良债权转让合同；不良债权转让合同被撤销或者部分撤销后，受让人可以请求金融资产管理公司承担相应的缔约过失责任。]]></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七、]]></w:t>
      </w:r>
      <w:r w:rsidRPr="00A75184">
        <w:rPr>
          <w:rStyle w:val="sect2title1"/>
          <w:rFonts w:ascii="DengXian" w:eastAsia="DengXian" w:hAnsi="DengXian" w:hint="default"/>
          <w:b w:val="0"/>
        </w:rPr>
        <w:t xml:space="preserve">　</w:t>
      </w:r>
      <w:r w:rsidRPr="00A75184">
        <w:rPr>
          <w:rFonts w:ascii="SimSun" w:eastAsia="SimSun" w:hAnsi="SimSun" w:hint="default"/>
        </w:rPr>
        <w:t><![CDATA[关于不良债权转让无效合同的处理]]></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人民法院认定金融不良债权转让合同无效后，对于受让人直接从金融资产管理公司受让不良债权的，人民法院应当判决金融资产管理公司与受让人之间的债权转让合同无效；受让人通过再次转让而取得债权的，人民法院应当判决金融资产管理公司与转让人、转让人与后手受让人之间的系列债权转让合同无效。债权转让合同被认定无效后，人民法院应当按照 合同法的相关规定处理；受让人要求转让人赔偿损失，赔偿损失数额应以受让人实际支付的价金之利息损失为限。相关不良债权的诉讼时效自金融不良债权转让合同被认定无效之日起重新计算。]]></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金融资产管理公司以整体“资产包”的形式转让不良债权中出现单笔或者数笔债权无效情形、或者单笔或数笔不良债权的债务人为非国有企业，受让人请求认定合同全部无效的，人民法院应当判令金融资产管理公司与转让人之间的资产包债权转让合同无效；受让人请求认定已履行或已清结部分有效的，人民法院应当认定尚未履行或尚未清结部分无效，并判令受让人将尚未履行部分或尚未清结部分返还给金融资产管理公司，金融资产管理公司不再向受让人返还相应价金。]]></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八、]]></w:t>
      </w:r>
      <w:r w:rsidRPr="00A75184">
        <w:rPr>
          <w:rStyle w:val="sect2title1"/>
          <w:rFonts w:ascii="DengXian" w:eastAsia="DengXian" w:hAnsi="DengXian" w:hint="default"/>
          <w:b w:val="0"/>
        </w:rPr>
        <w:t xml:space="preserve">　</w:t>
      </w:r>
      <w:r w:rsidRPr="00A75184">
        <w:rPr>
          <w:rFonts w:ascii="SimSun" w:eastAsia="SimSun" w:hAnsi="SimSun" w:hint="default"/>
        </w:rPr>
        <w:t><![CDATA[关于举证责任分配和相关证据的审查]]></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人民法院在审查不良债权转让合同效力时，要加强对不良债权转让合同、转让标的、转让程序以及相关证据的审查，尤其是对受让人权利范围、受让人身份合法性以及证据真实性的审查。不良债权转让合同中经常存在诸多限制受让人权利范围的条款，人民法院应当要求受让人向法庭披露不良债权转让合同以证明其权利合法性和权利范围。受让人不予提供的，人民法院应当责令其提供；受让人拒不提供的，应当承担举证不能的法律后果。人民法院在对受让人身份的合法性以及是否存在恶意串通等方面存在合理怀疑时，应当根据最高人民法院《关于民事诉讼证据的若干规定》及时合理地分配举证责任；但人民法院不得仅以不良债权出让价格与资产账面额之间的差额幅度作为引起怀疑的证据，而应当综合判断。对当事人伪造或变造借款合同、担保合同、借款借据、修改缔约时间和债务人还贷时间以及产生诉讼时效中断证据等情形的，人民法院应当严格依据相关法律规定予以制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九、]]></w:t>
      </w:r>
      <w:r w:rsidRPr="00A75184">
        <w:rPr>
          <w:rStyle w:val="sect2title1"/>
          <w:rFonts w:ascii="DengXian" w:eastAsia="DengXian" w:hAnsi="DengXian" w:hint="default"/>
          <w:b w:val="0"/>
        </w:rPr>
        <w:t xml:space="preserve">　</w:t>
      </w:r>
      <w:r w:rsidRPr="00A75184">
        <w:rPr>
          <w:rFonts w:ascii="SimSun" w:eastAsia="SimSun" w:hAnsi="SimSun" w:hint="default"/>
        </w:rPr>
        <w:t><![CDATA[关于受让人收取利息的问题]]></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受让人向国有企业债务人主张利息的计算基数应以原借款合同本金为准；受让人向国有企业债务人主张不良债权受让日之后发生的利息的，人民法院不予支持。但不良债权转让合同被认定无效的，出让人在向受让人返还受让款本金的同时，应当按照中国人民银行规定的同期定期存款利率支付利息。]]></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十、]]></w:t>
      </w:r>
      <w:r w:rsidRPr="00A75184">
        <w:rPr>
          <w:rStyle w:val="sect2title1"/>
          <w:rFonts w:ascii="DengXian" w:eastAsia="DengXian" w:hAnsi="DengXian" w:hint="default"/>
          <w:b w:val="0"/>
        </w:rPr>
        <w:t xml:space="preserve">　</w:t>
      </w:r>
      <w:r w:rsidRPr="00A75184">
        <w:rPr>
          <w:rFonts w:ascii="SimSun" w:eastAsia="SimSun" w:hAnsi="SimSun" w:hint="default"/>
        </w:rPr>
        <w:t><![CDATA[关于诉讼或执行主体的变更]]></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金融资产管理公司转让已经涉及诉讼、执行或者破产等程序的不良债权的，人民法院应当根据债权转让合同以及受让人或者转让人的申请，裁定变更诉讼主体或者执行主体。在不良债权转让合同被认定无效后，金融资产管理公司请求变更受让人为金融资产管理公司以通过诉讼继续追索国有企业债务人的，人民法院应予支持。人民法院裁判金融不良债权转让合同无效后当事人履行相互返还义务时，应从不良债权最终受让人开始逐一与前手相互返还，直至完成第一受让人与金融资产管理公司的相互返还。后手受让人直接对金融资产管理公司主张不良债权转让合同无效并请求赔偿的，人民法院不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十一、]]></w:t>
      </w:r>
      <w:r w:rsidRPr="00A75184">
        <w:rPr>
          <w:rStyle w:val="sect2title1"/>
          <w:rFonts w:ascii="DengXian" w:eastAsia="DengXian" w:hAnsi="DengXian" w:hint="default"/>
          <w:b w:val="0"/>
        </w:rPr>
        <w:t xml:space="preserve">　</w:t>
      </w:r>
      <w:r w:rsidRPr="00A75184">
        <w:rPr>
          <w:rFonts w:ascii="SimSun" w:eastAsia="SimSun" w:hAnsi="SimSun" w:hint="default"/>
        </w:rPr>
        <w:t><![CDATA[关于既有规定的适用]]></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国有银行向金融资产管理公司转让不良债权，或者金融资产管理公司受让不良债权后，通过债权转让方式处置不良资产的，可以适用最高人民法院《关于审理金融资产管理公司收购、管理、处置国有银行不良贷款形成的资产的案件适用法律若干问题的规定》、《关于贯彻执行最高人民法院“十二条”司法解释有关问题的函的答复》、《关于金融资产管理公司收购、管理、处置银行不良资产有关问题的补充通知》和《关于国有金融资产管理公司处置国有商业银行不良资产案件交纳诉讼费用的通知》。受让人受让不良债权后再行转让的，不适用上述规定，但受让人为相关地方人民政府或者代表本级人民政府履行出资人职责的机构、部门或者持有国有企业债务人国有资本的集团公司除外。]]></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国有银行或者金融资产管理公司根据《关于贯彻执行最高人民法院“十二条”司法解释有关问题的函的答复》的规定，在全国或省级有影响的报纸上发布有催收内容的债权转让通知或公告的，该公告或通知之日应为诉讼时效的实际中断日，新的诉讼时效应自此起算。上述公告或者通知对保证合同诉讼时效发生同等效力。]]></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十二、]]></w:t>
      </w:r>
      <w:r w:rsidRPr="00A75184">
        <w:rPr>
          <w:rStyle w:val="sect2title1"/>
          <w:rFonts w:ascii="DengXian" w:eastAsia="DengXian" w:hAnsi="DengXian" w:hint="default"/>
          <w:b w:val="0"/>
        </w:rPr>
        <w:t xml:space="preserve">　</w:t>
      </w:r>
      <w:r w:rsidRPr="00A75184">
        <w:rPr>
          <w:rFonts w:ascii="SimSun" w:eastAsia="SimSun" w:hAnsi="SimSun" w:hint="default"/>
        </w:rPr>
        <w:t><![CDATA[关于《纪要》的适用范围]]></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认为，在《纪要》中，国有银行包括国有独资商业银行、国有控股商业银行以及国有政策性银行；金融资产管理公司包括华融、长城、东方和信达等金融资产管理公司和资产管理公司通过组建或参股等方式成立的资产处置联合体。国有企业债务人包括国有独资和国有控股的企业法人。受让人是指非金融资产管理 公司法人、自然人。不良债权转让包括金融资产管理公司政策性和商业性不良债权的转让。政策性不良债权是指1999年至2000年上述四家金融资产管理公司在国家统一安排下通过再贷款或者财政担保的商业票据形式支付收购成本从中国银行、中国农业银行、中国建设银行、中国工商银行以及国家开发银行收购的不良债权；商业性不良债权是指2004年至2005年上述四家金融资产管理公司在政府主管部门主导下从交通银行、中国银行、中国建设银行和中国工商银行收购的不良债权。]]></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纪要》的内容和精神仅适用于在《纪要》发布之后尚在一审或者二审阶段的涉及最初转让方为国有银行、金融资产管理公司通过债权转让方式处置不良资产形成的相关案件。人民法院依照审判监督程序决定再审的案件，不适用《纪要》。]]></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会议还认为，鉴于此类纠纷案件具有较强政策性，人民法院在案件审理过程中，遇到难度大、涉及面广或者涉及社会稳定的案件，要紧紧依靠党委领导，自觉接受人大监督，必要时也可以请示上级人民法院。在不良债权处置工作中发现违规现象的，要及时与财政、金融监管部门联系或者向金融监管部门提出司法建议；对存在经济犯罪嫌疑、发现犯罪线索的，要及时向有关侦查机关移送案件或者案件线索。上级人民法院要加强审理此类纠纷案件的监督指导，及时总结审判经验，发布案件指导，依法妥善公正地审理好此类案件。]]></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印发《关于审理涉及金融不良债权转让案件工作座谈会纪要》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d3816afc5dda464d6cee9b75c4e3b77a"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